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233 vom 24. August 1994</w:t>
      </w:r>
    </w:p>
    <w:p>
      <w:r>
        <w:t>Bundesgericht (BGE), 1994-08-24, DE</w:t>
      </w:r>
    </w:p>
    <w:p>
      <w:r>
        <w:rPr>
          <w:b/>
        </w:rPr>
        <w:t xml:space="preserve">Quelle: </w:t>
      </w:r>
      <w:r>
        <w:t>https://mcp.opencaselaw.ch/entscheid/bge_120 IB 233</w:t>
      </w:r>
    </w:p>
    <w:p>
      <w:r>
        <w:t>FR: BGE 120 IB 233 du 24 août 1994</w:t>
      </w:r>
    </w:p>
    <w:p>
      <w:r>
        <w:t>IT: BGE 120 IB 233 del 24 agosto 1994</w:t>
      </w:r>
    </w:p>
    <w:p>
      <w:pPr>
        <w:pStyle w:val="Heading2"/>
      </w:pPr>
      <w:r>
        <w:t>Regeste</w:t>
      </w:r>
    </w:p>
    <w:p>
      <w:r>
        <w:t>Regeste Art. 29 ff. GSchG; Wassernutzungskonzession; Wasserentnahmen für die landwirtschaftliche Bewässerung, Sicherung angemessener Restwassermengen. Für alle Wasserentnahmen ist ein Bericht gemäss Art. 33 Abs. 4 GSchG vorzulegen. In übergangsrechtlichen Situationen können die von den Behörden getroffenen Sachverhaltsabklärungen als Bericht anerkannt werden, sofern sie ausreichen, ein Projekt auf seine Übereinstimmung mit den Vorschriften des Gewässerschutzgesetzes zu überprüfen (E. 3). Pflicht der Behörden abzuklären, welche Bewilligungsvoraussetzungen (hier Art. 30 lit. a oder lit. b GSchG) mit Bezug auf die einzelnen betroffenen Fliessgewässer gelten. Vorgehen, wenn für die Bestimmung der Abflussmenge Q347 keine zehnjährige Messreihe zur Verfügung steht (Art. 4 lit. h und Art. 59 GSchG; E. 5). Prüfung, ob eine Bewilligung nach Art. 30 lit. a und Art. 31 - 35 GSchG erteilt werden kann: allgemein und bei interkantonalen Fliessgewässern (E. 6). Festlegung des Bezugspunktes für die Bestimmung der Restwassermenge; Erhöhung der Mindestrestwassermenge (Art. 4 lit. k und Art. 31 GSchG). Sicherung angemessener Restwassermengen aufgrund einer umfassenden Interessenabwägung: dabei zu berücksichtigende Punkte, Bedeutung der Interessen der Landwirtschaft (Art. 33 GSchG). Festsetzung von Dotierwassermengen (Art. 4 lit. l und Art. 36 GSchG; E. 7). Kriterien zur Festlegung der Konzessionsdauer (E. 8).</w:t>
      </w:r>
    </w:p>
    <w:p>
      <w:pPr>
        <w:pStyle w:val="Heading2"/>
      </w:pPr>
      <w:r>
        <w:t>Erwägungen</w:t>
      </w:r>
    </w:p>
    <w:p>
      <w:r>
        <w:rPr>
          <w:b/>
        </w:rPr>
        <w:t>E. 3</w:t>
      </w:r>
    </w:p>
    <w:p>
      <w:r>
        <w:t>a) Das Konzessionsgesuch wurde am 14. Dezember 1991 eingereicht. Im Laufe des regierungsrätlichen Verfahrens trat das neue Gewässerschutzgesetz in Kraft. Entsprechend den erheblichen öffentlichen Interessen, denen das Gesetz dient, ist es auch in hängigen Verfahren zu berücksichtigen ( BGE 119 Ib 254 E. 9g S. 283 mit Hinweis). Der Regierungsrat prüfte daher zu Recht, ob die Wasserentnahmen nach den Art. 29 ff. GSchG bewilligt werden können. b) Die Vorschriften über die Sanierung bestehender Wasserentnahmen ( Art. 80 - 83 GSchG ) kommen hier nicht zum Zuge, auch wenn der Regierungsrat seit Ablauf der bisher geltenden Konzessionen Wasserentnahmen auf Zusehen hin gestattete (vgl. dazu die Botschaft zur Volksinitiative "zur Rettung unserer Gewässer" und zur Revision des Bundesgesetzes über den Schutz der Gewässer, S. 1170 ff., sowie BERNHARD FREI, Die Sanierung nach Art. 80 ff. Gewässerschutzgesetz vom 24.1.1991 bei der Wasserkraftnutzung, Schriftenreihe Umwelt Nr. 163, hrsg. vom Bundesamt für Umwelt, Wald und Landschaft, Bern 1991, S. 30 ff.). Die Wasserentnahmen müssen neu konzessioniert werden und haben daher vollumfänglich den Anforderungen des Gewässerschutzgesetzes zu entsprechen ( BGE 119 Ib 254 E. 5b S. 270, E. 9g S. 283 f., E. 9l S. 285 f. sowie E. 10he S. 297 f.; BGE 110 Ib 160 E. 5 S. 163 f.). Dies ist unbestritten. c) Das Bewässerungssystem unterliegt nicht einer Umweltverträglichkeitsprüfung (UVP) gemäss Art. 9 des Bundesgesetzes über den Umweltschutz vom 7. Oktober 1983 (Umweltschutzgesetz, USG; SR 814.01). Nach Ziff. 80.1 des Anhanges zur Verordnung über die Umweltverträglichkeitsprüfung vom 19. Oktober 1988 (UVPV; SR 814.011) sind Bewässerungen UVP-pflichtig, wenn sie als kulturtechnische Massnahme Teil einer Gesamtmelioration sind. Eine solche Melioration wird hier nicht durchgeführt, und wasserbauliche Massnahmen gemäss Ziff. 30.2 des Anhanges zur UVPV stehen nicht zur Diskussion. Die Beschwerdeführer verlangen daher BGE 120 Ib 233 S. 238 vor Bundesgericht zu Recht nicht mehr die Durchführung einer UVP. Sie machen jedoch geltend, der Kanton hätte von der Genossenschaft einen Bericht über die Auswirkungen der Wasserentnahmen verlangen müssen, wie dies Art. 33 Abs. 4 GSchG vorsehe. Das Baudepartement wendet dagegen ein, der Regierungsrat habe bewusst auf die Vorlage eines solchen Berichtes verzichtet. Das neue Gewässerschutzgesetz sei "in einer überfallartigen Aktion" auf den 1. November 1992 in Kraft gesetzt worden. Damals sei das Projekt bereits spruchreif gewesen. d) Das Bewässerungsprojekt hat - wie erwähnt - vollumfänglich die Anforderungen des neuen Gewässerschutzgesetzes zu erfüllen. Gemäss Art. 33 Abs. 4 GSchG hat jeder, der einem Gewässer Wasser entnehmen will, der zuständigen Behörde einen Bericht über die Auswirkungen unterschiedlich grosser Wasserentnahmen auf die Interessen an der Wasserentnahme sowie über die voraussichtlichen Beeinträchtigungen der Interessen gegen eine Wasserentnahme und über mögliche Massnahmen zu deren Verhinderung zu unterbreiten. Weder das Gewässerschutzgesetz noch die Allgemeine Gewässerschutzverordnung vom 19. Juni 1972 (in der Fassung gemäss Änderung vom 27. Oktober 1993, AS 1993 3022 ff.) sehen Ausnahmen vor. Das heisst jedoch nicht, dass übergangsrechtlichen Schwierigkeiten keine Rechnung getragen werden könnte. Die von den kantonalen Behörden getroffenen Sachverhaltsabklärungen können in übergangsrechtlichen Situationen, wie sie hier vorliegen, als Bericht im Sinne von Art. 33 Abs. 4 GSchG anerkannt werden, sofern sie ausreichen, um ein Projekt auf seine Übereinstimmung mit den Vorschriften des Gewässerschutzgesetzes zu überprüfen. In diesem Falle muss kein förmlicher Bericht gemäss Art. 33 Abs. 4 GSchG nachgeliefert werden. Im gleichen Sinne entschied das Bundesgericht im Zusammenhang mit UVP-pflichtigen Anlagen, um deren Bewilligung nach Inkrafttreten des Umweltschutzgesetzes, aber noch vor Erlass der UVPV ersucht worden war ( BGE 117 Ib 285 E. 7d S. 300 mit Hinweisen). Für UVP-pflichtige Anlagen sieht heute Art. 24 UVPV ein entsprechendes Vorgehen ausdrücklich vor. Es besteht kein Anlass, bei Berichten nach Art. 33 Abs. 4 GSchG andere Regeln anzuwenden, zumal diese Berichte im wesentlichen den gleichen Zweck wie eine UVP verfolgen: Sie sollen den Behörden aufgrund einer Darstellung der Auswirkungen eines Projektes auf die Umwelt den Entscheid erleichtern (Botschaft, a.a.O., S. 1138). BGE 120 Ib 233 S. 239 e) Im vorliegenden Fall genügen jedoch weder der dem Konzessionsgesuch beiliegende Bericht des projektierenden Ingenieurbüros, der sich im wesentlichen nur zu technischen Fragen der Rheinwasserfassung äussert, noch die Abklärungen des Regierungsrates, um das Bewässerungsprojekt auf seine Vereinbarkeit mit den Vorschriften des Gewässerschutzgesetzes überprüfen zu können. Bei der Bewilligung von Bauten oder Anlagen, welche die Umwelt erheblich belasten, werden hohe Anforderungen an die Feststellung der tatsächlichen Verhältnisse verlangt. Nur aufgrund einer umfassenden Abklärung der Auswirkungen einer Anlage ist eine den Anforderungen des Umweltschutzrechtes entsprechende Beurteilung, insbesondere ein sorgfältiges Gewichten der zu berücksichtigenden Interessen, möglich ( BGE 119 Ib 254 E. 2a S. 265 und E. 8b S. 275 mit Hinweisen). Für Bewässerungsprojekte wie das vorliegende gilt nichts anderes. Die Rüge, der Regierungsrat habe Art. 33 Abs. 4 GSchG verletzt, ist daher begründet.</w:t>
      </w:r>
    </w:p>
    <w:p>
      <w:r>
        <w:rPr>
          <w:b/>
        </w:rPr>
        <w:t>E. 4</w:t>
      </w:r>
    </w:p>
    <w:p>
      <w:r>
        <w:t>a) Der Regierungsrat betrachtete die Wasserentnahmen aus dem Geisslibach und aus dem Furtbach als eine einzige Entnahme und prüfte, ob sie nach Art. 30 lit. a GSchG bewilligt werden kann. Wie die Vernehmlassungen des Baudepartementes verdeutlichen, rechtfertigt sich aus der Sicht des Regierungsrates dieses Vorgehen, weil mit der Gründung der Genossenschaft ein Bewässerungsperimeter festgelegt bzw. eine Systemgrenze definiert worden sei. Alle zu bewässernden Flächen seien Teilmengen der Gesamtmenge "Bewässerungssystem". Es sei daher richtig, das Einhalten der Restwasservorschriften an der Systemgrenze, und zwar an einem einzigen Ort für alle Wasserentnahmen, zu überwachen. Die Messstelle "Rotmüli" liege an dieser Systemgrenze. Für diesen Bezugspunkt setzte der Regierungsrat gestützt auf Art. 31 Abs. 1 GSchG eine Mindestrestwassermenge von 140 l/s (= 0,14 m3/s) fest, wobei er von einer Abflussmenge Q347 ( Art. 4 lit. h GSchG ) von 180 l/s (= 0,18 m3/s) ausging. Eine Erhöhung der Mindestrestwassermenge lehnte der Regierungsrat ab, weil dies nicht notwendig sei. b) Dagegen wenden die Beschwerdeführer ein, es gehe nicht an, einzig bei der "Rotmüli" eine Restwassermenge festzulegen. Nach jeder einzelnen Wasserentnahme müsse gemäss Art. 35 GSchG eine Dotierwassermenge festgesetzt werden. Die nach den angefochtenen Entscheiden einzuhaltende Restwassermenge von 140 l/s erachten die Beschwerdeführer als zu niedrig. Sie befürchten insbesondere nachteilige Folgen für die Fischerei. Auch habe der Regierungsrat weder geprüft, ob Gründe für eine zwingende Erhöhung der BGE 120 Ib 233 S. 240 Mindestrestwassermenge gemäss Art. 31 Abs. 2 GSchG gegeben seien, noch ob gemäss Art. 33 GSchG die Mindestrestwassermenge zu erhöhen sei. Weiter werfen die Beschwerdeführer dem Regierungsrat vor, er habe nicht berücksichtigt, dass bereits auf Zürcher Gebiet dem Geisslibach Wasser entnommen werde. Der angefochtene Entscheid sage über die natürliche Wasserführung im Geisslibach und deren Beeinflussung auch auf Zürcher Gebiet nichts aus. Aus dem Furtbach seien Wasserentnahmen bewilligt worden, ohne Kenntnis über die Abflussmengen zu haben. Schliesslich erachten die Beschwerdeführer eine Konzessionsdauer von 25 Jahren als zu lange.</w:t>
      </w:r>
    </w:p>
    <w:p>
      <w:r>
        <w:rPr>
          <w:b/>
        </w:rPr>
        <w:t>E. 5</w:t>
      </w:r>
    </w:p>
    <w:p>
      <w:r>
        <w:t>a) Wer einem Fliessgewässer mit ständiger Wasserführung über den Gemeingebrauch hinaus Wasser entnehmen will, braucht gemäss Art. 29 lit. a GSchG eine Bewilligung. Diese Bewilligung bezweckt primär die Sicherstellung angemessener Restwassermengen, wie dies Art. 24bis Abs. 2 lit. a BV verlangt. Die Bewilligung soll ferner gewährleisten, dass aus Fliessgewässern nur Wasser entnommen wird, wenn alle massgebenden Interessen, die für oder gegen die Entnahme sprechen, umfassend berücksichtigt und gegeneinander abgewogen worden sind (Art. 1 lit. c - e, Art. 33 Abs. 2 und 3 GSchG ; Botschaft, a.a.O., S. 1125 f.). Es ist unbestritten, dass die hier fraglichen Entnahmen nach Art. 29 lit. a GSchG bewilligungspflichtig sind. Ob die Bewilligung erteilt werden kann, hängt zunächst von der Entnahmemenge und ihrem Verhältnis zur Abflussmenge Q347 ab. Dies ist jene Abflussmenge, welche - gemittelt über zehn Jahre - durchschnittlich während 347 Tagen des Jahres erreicht oder überschritten wird und die durch Stauung, Entnahme oder Zuleitung von Wasser nicht wesentlich beeinflusst ist ( Art. 4 lit. h GSchG ). Wenn zusammen mit anderen Entnahmen einem Fliessgewässer höchstens 20% der Abflussmenge Q347 und nicht mehr als 1'000 l/s entnommen werden, kann die Wasserentnahme unter erleichterten Voraussetzungen bewilligt werden; es müssen weder Restwassermengen gemäss Art. 31 - 33 GSchG festgesetzt noch Massnahmen nach Art. 35 GSchG angeordnet werden ( Art. 30 lit. b GSchG ). Geht die Wasserentnahme über dieses Mass hinaus, kann sie nur bewilligt werden, wenn die Anforderungen der Art. 31 - 35 GSchG erfüllt sind ( Art. 30 lit. a GSchG ). Vorliegend sind (nebst dem Rhein) zwei Fliessgewässer von Wasserentnahmen betroffen. Dementsprechend ist mit Bezug auf jedes einzelne Gewässer zu klären, unter welchen Voraussetzungen die gewässerschutzrechtliche Bewilligung erteilt werden kann und ob diese BGE 120 Ib 233 S. 241 Voraussetzungen erfüllt sind (Botschaft, a.a.O., S. 1125 ff.). Nur diese auf jedes einzelne Fliessgewässer bezogene Betrachtungsweise stellt im Regelfall sicher, dass nachteilige Einwirkungen verhindert werden können. b) Das vom Regierungsrat gewählte Vorgehen genügt diesen Anforderungen nicht. Hinsichtlich der Entnahmen aus dem Furtbach ist nicht klar, welche Bewilligungsvoraussetzungen gelten und ob sie erfüllt sind, weil die Abflussmenge Q347 nicht bestimmt wurde. Der von F. G. ausgefüllten "Beilage zum Gesuch um Wasserentnahmen zu Bewässerungszwecken" ist immerhin zu entnehmen, dass dem Furtbach 500 l/min oder 8,33 l/s entnommen werden sollen. Angesichts dieser Menge ist zwar eine Bewilligung nach Art. 30 lit. b GSchG nicht von vorneherein auszuschliessen. Doch führt der Bach nach den Angaben der Beschwerdeführer relativ wenig Wasser. Es ist daher wahrscheinlich(er), dass mehr als 20% der Abflussmenge Q347 entnommen werden sollen, so dass die Anforderungen nach den Art. 31 - 35 GSchG erfüllt sein müssten. Der Furtbach ist aufgrund der Darlegungen der Genossenschaft in ihrer Vernehmlassung als Fischereigewässer zu bezeichnen. Er dient als Lebensraum für Jungfische und ist daher fischereibiologisch von besonderem Wert. Die Nutzung eines solchen Gewässers soll grundsätzlich nur möglich sein, wenn mehr als 50 l/s abfliessen ( Art. 31 Abs. 1 GSchG ; BGE 117 Ib 178 E. 4b S. 189; Botschaft, a.a.O., S. 1130 f.). Beträgt die Abflussmenge Q347 40 l/s oder weniger, so muss der Bach trotz den Entnahmen seine Funktion als Fischaufzuchtgebiet erfüllen können ( Art. 31 Abs. 2 lit. e GSchG ; Botschaft, a.a.O., S. 1134; BGE 112 Ib 424 E. 7c S. 440). c) Das Baudepartement wendet allerdings ein, für die Bestimmung der Abflussmenge Q347 des Furtbaches stehe keine zehnjährige Messreihe zur Verfügung, wie dies Art. 4 lit. h GSchG verlange. Zwar sehe Art. 59 GSchG für diesen Fall vor, dass die Abflussmenge Q347 mit anderen Methoden wie hydrologischen Beobachtungen und Modellrechnungen zu ermitteln sei. Doch seien bis heute keine brauchbaren alternativen Mess- oder Berechnungsmethoden für Fliessgewässer im Mittelland bekannt. Es trifft zu, dass für Fliessgewässer im nichtalpinen Gebiet die in Art. 59 GSchG vorgesehenen alternativen Mess- und Berechnungsmethoden noch nicht in allgemeingültiger Weise erarbeitet werden konnten, wie einer Studie von H. ASCHWANDEN (Die Niedrigwasserabflussmenge Q347 - Bestimmung und Abschätzung in alpinen schweizerischen Einzugsgebieten, Mitteilung Nr. 18 des BUWAL, BGE 120 Ib 233 S. 242 Bern 1992, S. 13 ff.) zu entnehmen ist. Dieser für den Vollzug des Gewässerschutzgesetzes bedeutsame Mangel darf jedoch nicht zur Folge haben, dass Wasserentnahmen bewilligt werden, ohne ihre Auswirkungen abzuklären ( BGE 117 Ib 178 E. 4ca S. 190). Den Schwierigkeiten beim Gesetzesvollzug kann denn auch begegnet werden. d) Der Bund ist verpflichtet, den Kantonen beim Vollzug Hilfe zu bieten, damit der Zweck des Gewässerschutzgesetzes erfüllt werden kann (vgl. PETER SALADIN, Bund und Kantone, ZSR 103/1984 II S. 513 ff.). So hat der Bund nicht nur Grundlagen von gesamtschweizerischem Interesse zu beschaffen, welche für den Vollzug notwendig sind ( Art. 57 GSchG ), und die Ausführungsvorschriften zum Gewässerschutzgesetz zu erlassen ( Art. 47 GSchG ). Das BUWAL als Gewässerschutzfachstelle des Bundes hat vielmehr die Kantone mit Rat und Tat beim Gesetzesvollzug zu unterstützen (Art. 49 Abs. 2, Art. 50 Abs. 2 und 3 GSchG ). e) Die Kantone haben ihre Vollzugsaufgaben ebenfalls wahrzunehmen ( Art. 45 und Art. 58 Abs. 1 GSchG ). Gewisse Unsicherheiten, welche dabei nach den Darlegungen des Baudepartementes bei der Bestimmung der Abflussmenge Q347 bestehen sollen, können hier ausgeräumt werden. aa) So ist die Abflussmenge Q347 nach der sogenannten "abszissengemittelten" Methode zu bestimmen. Der Bundesrat legt zu dieser Frage in seiner Botschaft (a.a.O., S. 1105 ff.) dar, für die Ermittlung der Abflussmenge Q347 seien die innerhalb der Messperiode gemessenen Tagesmittelwerte nach der Häufigkeit ihres Auftretens in einem Diagramm zu ordnen. Aus diesen Erläuterungen ergibt sich in Übereinstimmung mit der Auffassung des EDI, dass die Ermittlung der Abflussmenge Q347 nach der "ordinatengemittelten" Methode, wie dies von den Beschwerdeführern verlangt wird, mit Art. 4 lit. h GSchG nicht zu vereinbaren wäre (so auch ASCHWANDEN, a.a.O., S. 15 f., mit einem Beispiel). bb) Im Falle des Furtbaches wäre es sodann möglich gewesen, für die Bestimmung der Abflussmenge Q347 auf eine einjährige Kurzzeitmessung abzustellen, bis zuverlässigere, auf längerfristigen Messreihen beruhende Abschätzverfahren für Fliessgewässer des Mittellandes verfügbar sind (ASCHWANDEN, a.a.O., S. 33 ff. und S. 59). Aufgrund einer solchen Kurzzeitmessung erscheint es - gegebenenfalls mit der Hilfe von Sachverständigen - als möglich, ein Fliessgewässer den in Art. 31 Abs. 1 GSchG genannten Gewässerkategorien zuzuordnen (vgl. die Botschaft, a.a.O., S. 1130 ff.). Sind für eine zuverlässige Bestimmung der Abflussmenge Q347 BGE 120 Ib 233 S. 243 eingehendere Abklärungen über den Wasserhaushalt notwendig, können auf der Grundlage erster Erkenntnisse für die Dauer des Konzessions- bzw. Bewilligungsverfahrens vorsorgliche Massnahmen getroffen werden, bis genügende Entscheidungsgrundlagen verfügbar sind. Bei sachgerechter Durchführung erlaubt ein solches Vorgehen in aller Regel, zeitgerecht sowohl den Interessen an der Wasserentnahme Rechnung zu tragen und als auch nachteilige Einwirkungen auf die Gewässer zu verhindern.</w:t>
      </w:r>
    </w:p>
    <w:p>
      <w:r>
        <w:rPr>
          <w:b/>
        </w:rPr>
        <w:t>E. 6</w:t>
      </w:r>
    </w:p>
    <w:p>
      <w:r>
        <w:t>Hinsichtlich der Wasserentnahmen aus dem Geisslibach gehen die Verfahrensbeteiligten davon aus, dass sie nur bewilligt werden können, wenn die Anforderungen der Art. 31 - 35 GSchG erfüllt sind ( Art. 30 lit. a GSchG ). Eine Bewilligung nach Art. 30 lit. b GSchG erscheint in der Tat als ausgeschlossen, sollen doch dem Geisslibach insgesamt 10'446 l/min oder 174,1 l/s entnommen werden, während die vom Regierungsrat berechnete Abflussmenge Q347 bei der "Rotmüli" 180 l/s (= 0,18 m3) beträgt. a) Bei Wasserentnahmen, die nach Art. 30 lit. a GSchG zu bewilligen sind, ist - ausgehend von der Abflussmenge Q347 - zunächst die Mindestrestwassermenge festzusetzen. Sie bestimmt sich nach den in Art. 31 Abs. 1 GSchG genannten Regeln, wobei unter den in Art. 31 Abs. 2 GSchG erwähnten Voraussetzungen eine erhöhte Mindestrestwassermenge bestimmt werden muss; ausnahmsweise kann eine tiefere Mindestrestwassermenge festgelegt werden ( Art. 32 GSchG ). In einem weiteren Schritt erhöht die Behörde die Mindestrestwassermenge in dem Ausmass, als es sich aufgrund einer Abwägung der Interessen für und gegen die vorgesehene Wasserentnahme ergibt ( Art. 33 Abs. 1 - 3 GSchG ). Steht die angemessene Restwassermenge fest, ordnet die Behörde diejenigen Massnahmen an, welche zu ihrer Sicherung erforderlich sind. So ist namentlich in jedem Einzelfall die Dotierwassermenge festzusetzen ( Art. 35 GSchG ), das heisst es ist diejenige Wassermenge zu bestimmen, welche zur Sicherstellung der angemessenen Restwassermenge bei der Wasserentnahme im Gewässer belassen werden muss ( Art. 4 lit. l GSchG ). b) Der Regierungsrat ist bei der Ermittlung der Abflussmenge Q347 des Geisslibaches von den tatsächlichen bei der "Rotmüli" gemessenen Tageswerten ausgegangen. Der für die Berechnung der Mindestrestwassermenge massgebende Wert der Abflussmenge Q347 darf allerdings durch Stauung, Entnahme oder Zuleitung von Wasser nicht wesentlich beeinflusst sein BGE 120 Ib 233 S. 244 ( Art. 4 lit. h GSchG ). Eine Beeinflussung wird als unwesentlich angesehen, solange sie sich im Rahmen der natürlichen Schwankungen der Abflussmenge Q347 bewegt (Botschaft, a.a.O., S. 1107). Aufgrund der Akten steht fest, dass dem Geisslibach bereits auf dem Gebiet des Kantons Zürich Wasser entnommen wird. Ob diese Beeinflussung als wesentlich im Sinne von Art. 4 lit. h GSchG zu bezeichnen ist und welche Konsequenzen sich hieraus für die Nutzung des Geisslibaches ergeben könnten, hat der Regierungsrat nicht abgeklärt, was die Beschwerdeführer mit Recht beanstanden. c) Die Schwierigkeiten, die sich für einen Unterlieger bei der Nutzung eines interkantonalen Gewässers stellen, sind freilich nicht zu verkennen. Art. 56 Abs. 1 GSchG sieht für solche Fälle vor, dass jeder Kanton diejenigen Massnahmen zu treffen hat, die zum Schutz dieses Gewässers und im Interesse der anderen Kantone notwendig sind. In erster Linie ist dabei der Verfassungsauftrag gemäss Art. 24bis Abs. 1 BV , wonach in Berücksichtigung der gesamten Wasserwirtschaft die Wasservorkommen haushälterisch genutzt und geschützt werden sollen, im Auge zu behalten. Damit bezüglich der Nutzung des Geisslibaches ein Ergebnis erzielt wird, welches die Interessen aller Betroffenen berücksichtigt, wird der Kanton Zürich zum Beispiel Aufschluss über das Mass der Nutzung auf seinem Gebiet geben müssen (zur Pflicht der Kantone zur Zusammenwirkung: PETER SALADIN in Kommentar BV, Art. 3, Rz. 34 f.). Je nach Sachlage sind gar die bestehenden Wasserentnahmen im Kanton Zürich nach den Vorschriften der Art. 80 ff. GSchG zu sanieren. Sollten sich die Kantone nicht einigen können, muss der Bundesrat entscheiden ( Art. 56 Abs. 2 GSchG ; vgl. Verwaltungsentscheide der Bundesbehörden 21/1951 Nr. 142 S. 223 ff. betreffend die Nutzbarmachung der Wasserkraft eines interkantonalen Gewässers; KARL GEISER/J.J. ABBÜHL/FRITZ BÜHLMANN, Einführung und Kommentar zum Bundesgesetz über die Nutzbarmachung der Wasserkräfte, Zürich 1921, S. 99).</w:t>
      </w:r>
    </w:p>
    <w:p>
      <w:r>
        <w:rPr>
          <w:b/>
        </w:rPr>
        <w:t>E. 7</w:t>
      </w:r>
    </w:p>
    <w:p>
      <w:r>
        <w:t>a) Als Bezugspunkt für die Bestimmung der Restwassermenge hat der Regierungsrat die "Rotmüli" gewählt. Ob dies fragwürdig ist, wie die Beschwerdeführer meinen, liegt nicht ohne weiteres auf der Hand. Die Restwassermenge ist diejenige Abflussmenge eines Fliessgewässers, welche nach einer oder mehreren Entnahmen verbleibt ( Art. 4 lit. k GSchG ). Die Restwasserführung umfasst dabei nicht nur die Dotierwassermenge ( Art. 4 lit. l GSchG ), sondern auch das Wasser aller Zuflüsse im Zwischeneinzugsgebiet des Gewässers nach der Wasserentnahme unter Abzug der BGE 120 Ib 233 S. 245 unterirdischen Abflüsse (Botschaft, a.a.O., S. 1107 f., mit einem die Wasserkraftnutzung betreffenden Beispiel). Als Bezugspunkt für die Bestimmung der Abflussmenge Q347 bzw. der Mindestrestwassermenge ist daher im Regelfall derjenige Punkt eines Fliessgewässers zu bestimmen, wo das Zwischeneinzugsgebiet endet. Der Geisslibach verfügt nach der letzten Entnahmestelle bei der "Müli" östlich von Basadingen über das Zwischeneinzugsgebiet des Chatzenbaches. Weitere allerdings unterirdische Zwischeneinzugsgebiete befinden sich nach den Angaben der Beschwerdeführer zwischen "Eichbüel" und Willisdorf sowie bei der "Rotmüli", wo ein Grundwasserstrom exfiltriert. Östlich von Schlattingen besteht zudem das Einzugsgebiet des Furtbaches. Die Frage, ob die Wahl der "Rotmüli" als Bezugspunkt für die Bestimmung der Restwassermenge mit dem Bundesrecht zu vereinbaren ist, muss jedoch nicht abschliessend beurteilt werden. Die Beschwerdeführer nennen keinen anderen Bezugspunkt, der ihrer Auffassung nach sachgerechter wäre. Sie kritisieren in erster Linie, dass es der Regierungsrat unterliess zu prüfen, ob die Mindestrestwassermenge zu erhöhen ist. Sodann bemängeln sie, dass der Regierungsrat bei den einzelnen Wasserentnahmen keine Dotierwassermenge festgesetzt hat. Diese Einwendungen sind begründet, wie die folgenden Erwägungen zeigen. b) Der Regierungsrat klärte nicht ab, ob die Mindestrestwassermenge nach in den Art. 31 Abs. 2 GSchG genannten Gründen zu erhöhen ist. Namentlich ist nicht klar, ob im Geisslibach auch nach den Wasserentnahmen die für die freie Fischwanderung erforderliche Wassertiefe gewährleistet ist ( Art. 31 Abs. 2 lit. d GSchG ). In den angefochtenen Entscheiden nimmt der Regierungsrat sodann verschiedentlich zur Frage der Wasserqualität Stellung, welche durch Ausschwemmung von Düngemitteln beeinträchtigt werden könnte. Ob dies eine Erhöhung der Mindestrestwassermenge gemäss Art. 31 Abs. 2 lit. a GSchG rechtfertigt, liess der Regierungsrat ebenfalls offen. c) Mit dem Bundesrecht nicht zu vereinbaren ist sodann der Verzicht auf die von Art. 33 GSchG verlangte Interessenabwägung. Bereits das Fischereigesetz von 1973 machte den Entscheid über neu zu konzessionierende Wasserentnahmen von einer Abwägung der Gesamtinteressenlage abhängig (Art. 25 Abs. 2 des Bundesgesetzes über die Fischerei vom 14. Dezember 1973 [AS 1975 2345]; heute Art. 9 Abs. 2 des Bundesgesetzes über die Fischerei vom 21. Juni 1991 BGE 120 Ib 233 S. 246 [FG ; 812 923.0 ]; BGE 119 Ib 254 E. 8b S. 275; BGE 117 Ib 178 E. 4b S. 189 mit Hinweis). Die Begründung des Regierungsrates, eine umfassende Gewichtung der auf dem Spiele stehenden Interessen sei wegen den Interessen der Landwirte bzw. der Genossenschaft nicht notwendig, genügt Art. 33 GSchG nicht. Dass den Anliegen der Landwirte ein grosses Gewicht zukommt, bestätigt zwar Art. 33 Abs. 3 lit. e GSchG . Diese Vorschrift, welche sich auf Entnahmen für die Nutzung der Wasserkraft bezieht, bringt in allgemeiner Weise zum Ausdruck, dass bei Wasserentnahmen die Anliegen der Landwirtschaft - auch aus der Sicht der Landschaftspflege (Verhinderung der Vergandung) - als bedeutend eingestuft werden ( BGE 112 Ib 424 E. 6c S. 436 f.). Diese Interessen sprechen jedoch nicht zum vorneherein gegen eine Erhöhung der Mindestrestwassermenge, wie dies hier übrigens auch die Stellungnahme des Landwirtschaftsamtes des Kantons Thurgau vom 17. März 1992 zeigt. d) Die in Art. 33 Abs. 3 GSchG erwähnten Interessen gegen eine Wasserentnahme werden vom Regierungsrat in den angefochtenen Entscheiden verschiedentlich angesprochen. Inwiefern sie keine Erhöhung der Mindestrestwassermenge rechtfertigen, begründet der Regierungsrat aber ebenfalls nicht. So steht nicht fest, welche Tragweite dem Geisslibach als Landschaftselement und als Lebensraum für die davon abhängige Tier- und Pflanzenwelt zukommt ( Art. 33 Abs. 3 lit. a und b GSchG ). Gleiches gilt hinsichtlich der Frage, wie sich die Entnahmen auf die Erhaltung einer Wasserführung auswirken, welche ausreicht, um die Anforderungen an die Wasserqualität langfristig zu erfüllen ( Art. 31 Abs. 3 lit. c GSchG ). Ebenso unsicher ist, welche Tragweite dem Interesse an der Erhaltung eines ausgeglichenen Grundwasserhaushaltes beizumessen ist, der die künftige Trinkwassergewinnung gewährleistet ( Art. 33 Abs. 3 lit. d GSchG ). e) Weiter ist zu beanstanden, dass es der Regierungsrat unterliess, die bei den Entnahmestellen im Gewässer zu belassenden Dotierwassermengen und allenfalls weitere Massnahmen festzulegen, welche zum Schutz des Gewässers unterhalb der Entnahmestellen notwendig sind ( Art. 35 GSchG ; BGE 112 Ib 424 E. 4a S. 429 und E. 7c S. 440). Es fragt sich ohnehin, ob bei einem Bewässerungssystem mit einer so grossen Anzahl Entnahmestellen die in Art. 35 GSchG vorgesehenen Anforderungen sachgerecht und zweckmässig erfüllt werden können. Dies zu prüfen wird Sache der Genossenschaft sein, hat sie doch von Gesetzes wegen nachzuweisen, dass sie bei den Wasserentnahmen die BGE 120 Ib 233 S. 247 Dotierwassermenge einhält ( Art. 36 GSchG ; Botschaft, a.a.O., S. 1138 ff.).</w:t>
      </w:r>
    </w:p>
    <w:p>
      <w:r>
        <w:rPr>
          <w:b/>
        </w:rPr>
        <w:t>E. 8</w:t>
      </w:r>
    </w:p>
    <w:p>
      <w:r>
        <w:t>a) Die Verwaltungsgerichtsbeschwerden erweisen sich somit als begründet. Dies führt zur Gutheissung der Beschwerden und zur Aufhebung der angefochtenen Entscheide, soweit Wasserentnahmen aus dem Geisslibach und aus dem Furtbach bewilligt und die dafür notwendigen Wasserrechte verliehen wurden. Die Sache ist im Sinne der vorstehenden Erwägungen zur neuen Entscheidung an den Regierungsrat zurückzuweisen. Eine neue Entscheidung bedingt die gründliche Abklärung der Auswirkungen der Wassernutzung auf die Interessen für und gegen die Entnahmen ( Art. 33 Abs. 4 GSchG ). Nebst den Dotierwassermengen ist eine angemessene Restwassermenge zu bestimmen. Ihre sachgerechte Festlegung gehört nicht nur zum zentralen Inhalt der gewässerschutzrechtlichen Bewilligung, sondern auch zur Wasserrechtsverleihung ( BGE 119 Ib 254 E. 6b S. 272 mit Hinweis). Das Bundesgericht ist nicht in der Lage, die für die Neubeurteilung erforderlichen zusätzlichen Abklärungen selber zu treffen; dies käme nur in Betracht, wenn die Beweiserhebungen von begrenztem Umfang wären ( BGE 119 Ib 254 E. 8c S. 276), was hier nicht zutrifft. b) Ob eine Konzessionsdauer von 25 Jahren mit den Anforderungen des Bundesrechts zu vereinbaren ist, muss bei diesem Verfahrensausgang nicht abschliessend geprüft werden. Immerhin ist festzuhalten, dass bei der Festlegung der Verleihungsdauer sowohl den Interessen der Wasserbezüger als auch den öffentlichen Interessen ausreichend Rechnung zu tragen ist. Der Genossenschaft ist eine Konzessionsdauer zu gewähren, welche es ihr erlaubt, ihre beträchtlichen Investitionen wirtschaftlich tragbar zu amortisieren. Zu den bei der Festlegung der Konzessionsdauer zu berücksichtigenden öffentlichen Interessen gehören nicht nur die Interessen des Umweltschutzes im weitesten Sinne (vgl. Art. 24bis Abs. 1 BV ), sondern auch die Interessen an der Sicherstellung der landwirtschaftlichen Bewässerung (vorstehende Erw. 7c; BGE 119 Ib 254 E. 10g S.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